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8AE6" w14:textId="77777777" w:rsidR="009C2EDA" w:rsidRDefault="009C2EDA" w:rsidP="009C2EDA">
      <w:pPr>
        <w:ind w:left="-90"/>
        <w:jc w:val="center"/>
        <w:rPr>
          <w:b/>
          <w:bCs/>
        </w:rPr>
      </w:pPr>
      <w:r>
        <w:rPr>
          <w:b/>
          <w:noProof/>
        </w:rPr>
        <w:drawing>
          <wp:inline distT="0" distB="0" distL="0" distR="0" wp14:anchorId="39CE733E" wp14:editId="4027D496">
            <wp:extent cx="3771900" cy="1295400"/>
            <wp:effectExtent l="0" t="0" r="0" b="0"/>
            <wp:docPr id="1" name="Picture 1" descr="HHC_pms280_black_notag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C_pms280_black_notag_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1900" cy="1295400"/>
                    </a:xfrm>
                    <a:prstGeom prst="rect">
                      <a:avLst/>
                    </a:prstGeom>
                    <a:noFill/>
                    <a:ln>
                      <a:noFill/>
                    </a:ln>
                  </pic:spPr>
                </pic:pic>
              </a:graphicData>
            </a:graphic>
          </wp:inline>
        </w:drawing>
      </w:r>
    </w:p>
    <w:tbl>
      <w:tblPr>
        <w:tblW w:w="9648" w:type="dxa"/>
        <w:tblLook w:val="01E0" w:firstRow="1" w:lastRow="1" w:firstColumn="1" w:lastColumn="1" w:noHBand="0" w:noVBand="0"/>
      </w:tblPr>
      <w:tblGrid>
        <w:gridCol w:w="5598"/>
        <w:gridCol w:w="1530"/>
        <w:gridCol w:w="2520"/>
      </w:tblGrid>
      <w:tr w:rsidR="009C2EDA" w14:paraId="143ABE2D" w14:textId="77777777" w:rsidTr="00253923">
        <w:trPr>
          <w:trHeight w:val="720"/>
        </w:trPr>
        <w:tc>
          <w:tcPr>
            <w:tcW w:w="5598" w:type="dxa"/>
            <w:hideMark/>
          </w:tcPr>
          <w:p w14:paraId="6E92854D" w14:textId="77777777" w:rsidR="009C2EDA" w:rsidRPr="00001801" w:rsidRDefault="009C2EDA" w:rsidP="00253923">
            <w:pPr>
              <w:rPr>
                <w:b/>
                <w:sz w:val="36"/>
                <w:szCs w:val="36"/>
              </w:rPr>
            </w:pPr>
          </w:p>
          <w:p w14:paraId="0610BC75" w14:textId="77777777" w:rsidR="009C2EDA" w:rsidRPr="00001801" w:rsidRDefault="009C2EDA" w:rsidP="00253923">
            <w:pPr>
              <w:rPr>
                <w:b/>
                <w:sz w:val="36"/>
                <w:szCs w:val="36"/>
              </w:rPr>
            </w:pPr>
          </w:p>
          <w:p w14:paraId="4B1A941E" w14:textId="77777777" w:rsidR="009C2EDA" w:rsidRPr="00001801" w:rsidRDefault="009C2EDA" w:rsidP="00253923">
            <w:pPr>
              <w:rPr>
                <w:b/>
                <w:sz w:val="36"/>
                <w:szCs w:val="36"/>
              </w:rPr>
            </w:pPr>
            <w:r w:rsidRPr="00001801">
              <w:rPr>
                <w:b/>
                <w:sz w:val="36"/>
                <w:szCs w:val="36"/>
              </w:rPr>
              <w:t>PRESS RELEASE</w:t>
            </w:r>
          </w:p>
        </w:tc>
        <w:tc>
          <w:tcPr>
            <w:tcW w:w="1530" w:type="dxa"/>
            <w:hideMark/>
          </w:tcPr>
          <w:p w14:paraId="55B124E7" w14:textId="77777777" w:rsidR="009C2EDA" w:rsidRDefault="009C2EDA" w:rsidP="00253923"/>
          <w:p w14:paraId="07E1A23D" w14:textId="77777777" w:rsidR="009C2EDA" w:rsidRDefault="009C2EDA" w:rsidP="00253923"/>
          <w:p w14:paraId="7619BC59" w14:textId="77777777" w:rsidR="009C2EDA" w:rsidRDefault="009C2EDA" w:rsidP="00253923"/>
          <w:p w14:paraId="545B9964" w14:textId="77777777" w:rsidR="009C2EDA" w:rsidRDefault="009C2EDA" w:rsidP="00253923">
            <w:r>
              <w:t>Contact:</w:t>
            </w:r>
          </w:p>
        </w:tc>
        <w:tc>
          <w:tcPr>
            <w:tcW w:w="2520" w:type="dxa"/>
          </w:tcPr>
          <w:p w14:paraId="5918834B" w14:textId="77777777" w:rsidR="009C2EDA" w:rsidRDefault="009C2EDA" w:rsidP="00253923"/>
          <w:p w14:paraId="1C71B8A7" w14:textId="77777777" w:rsidR="009C2EDA" w:rsidRDefault="009C2EDA" w:rsidP="00253923"/>
          <w:p w14:paraId="51C5A16E" w14:textId="77777777" w:rsidR="009C2EDA" w:rsidRDefault="009C2EDA" w:rsidP="00253923"/>
          <w:p w14:paraId="25CECCBC" w14:textId="77777777" w:rsidR="009C2EDA" w:rsidRDefault="009C2EDA" w:rsidP="00253923">
            <w:r>
              <w:t>Kevin Rowley</w:t>
            </w:r>
          </w:p>
          <w:p w14:paraId="0990FEA0" w14:textId="77777777" w:rsidR="009C2EDA" w:rsidRDefault="009C2EDA" w:rsidP="00253923">
            <w:r>
              <w:t>(478) 322-4949</w:t>
            </w:r>
          </w:p>
          <w:p w14:paraId="1A84E7B1" w14:textId="77777777" w:rsidR="009C2EDA" w:rsidRDefault="009C2EDA" w:rsidP="00253923">
            <w:r>
              <w:t>(478) 550-3619 cell</w:t>
            </w:r>
          </w:p>
          <w:p w14:paraId="77B9212D" w14:textId="77777777" w:rsidR="009C2EDA" w:rsidRDefault="009C2EDA" w:rsidP="00253923"/>
        </w:tc>
      </w:tr>
      <w:tr w:rsidR="009C2EDA" w14:paraId="24733A22" w14:textId="77777777" w:rsidTr="00253923">
        <w:trPr>
          <w:trHeight w:val="522"/>
        </w:trPr>
        <w:tc>
          <w:tcPr>
            <w:tcW w:w="5598" w:type="dxa"/>
            <w:tcBorders>
              <w:top w:val="nil"/>
              <w:left w:val="nil"/>
              <w:bottom w:val="single" w:sz="4" w:space="0" w:color="auto"/>
              <w:right w:val="nil"/>
            </w:tcBorders>
            <w:hideMark/>
          </w:tcPr>
          <w:p w14:paraId="2C9E7D85" w14:textId="77777777" w:rsidR="009C2EDA" w:rsidRPr="00001801" w:rsidRDefault="009C2EDA" w:rsidP="00253923">
            <w:pPr>
              <w:rPr>
                <w:b/>
              </w:rPr>
            </w:pPr>
            <w:r w:rsidRPr="00001801">
              <w:rPr>
                <w:b/>
              </w:rPr>
              <w:t>For Immediate Release</w:t>
            </w:r>
          </w:p>
        </w:tc>
        <w:tc>
          <w:tcPr>
            <w:tcW w:w="1530" w:type="dxa"/>
            <w:tcBorders>
              <w:top w:val="nil"/>
              <w:left w:val="nil"/>
              <w:bottom w:val="single" w:sz="4" w:space="0" w:color="auto"/>
              <w:right w:val="nil"/>
            </w:tcBorders>
            <w:hideMark/>
          </w:tcPr>
          <w:p w14:paraId="5742217F" w14:textId="77777777" w:rsidR="009C2EDA" w:rsidRDefault="009C2EDA" w:rsidP="00253923">
            <w:r>
              <w:t>Date:</w:t>
            </w:r>
          </w:p>
        </w:tc>
        <w:tc>
          <w:tcPr>
            <w:tcW w:w="2520" w:type="dxa"/>
            <w:tcBorders>
              <w:top w:val="nil"/>
              <w:left w:val="nil"/>
              <w:bottom w:val="single" w:sz="4" w:space="0" w:color="auto"/>
              <w:right w:val="nil"/>
            </w:tcBorders>
            <w:hideMark/>
          </w:tcPr>
          <w:p w14:paraId="576A8BB8" w14:textId="3F381CC0" w:rsidR="009C2EDA" w:rsidRDefault="002353D0" w:rsidP="00253923">
            <w:r>
              <w:t>December 1</w:t>
            </w:r>
            <w:r w:rsidR="00202BB7">
              <w:t>5</w:t>
            </w:r>
            <w:r>
              <w:t>, 2022</w:t>
            </w:r>
          </w:p>
          <w:p w14:paraId="5531E331" w14:textId="77777777" w:rsidR="004C0943" w:rsidRDefault="004C0943" w:rsidP="00253923"/>
          <w:p w14:paraId="1F0BD83C" w14:textId="63D4C0B3" w:rsidR="004C0943" w:rsidRDefault="004C0943" w:rsidP="004C0943"/>
        </w:tc>
      </w:tr>
    </w:tbl>
    <w:p w14:paraId="7389F700" w14:textId="06C91952" w:rsidR="009C2EDA" w:rsidRDefault="00607B82" w:rsidP="009C2EDA">
      <w:r w:rsidRPr="00607B82">
        <w:rPr>
          <w:i/>
          <w:iCs/>
        </w:rPr>
        <w:t>Photo attached</w:t>
      </w:r>
      <w:r>
        <w:t xml:space="preserve">. </w:t>
      </w:r>
      <w:r w:rsidR="00A54023">
        <w:t>Photo cutline</w:t>
      </w:r>
      <w:r w:rsidR="004C0943">
        <w:t>: Houston County Government officials and Houston Healthcare Leadership break ground on two buildings.</w:t>
      </w:r>
    </w:p>
    <w:p w14:paraId="06F947F4" w14:textId="77777777" w:rsidR="004C0943" w:rsidRDefault="004C0943" w:rsidP="009C2EDA"/>
    <w:p w14:paraId="03C8D9E5" w14:textId="012174A8" w:rsidR="00220F39" w:rsidRDefault="002353D0" w:rsidP="002353D0">
      <w:pPr>
        <w:jc w:val="center"/>
        <w:rPr>
          <w:b/>
          <w:sz w:val="32"/>
          <w:szCs w:val="32"/>
        </w:rPr>
      </w:pPr>
      <w:r>
        <w:rPr>
          <w:b/>
          <w:sz w:val="32"/>
          <w:szCs w:val="32"/>
        </w:rPr>
        <w:t xml:space="preserve">The </w:t>
      </w:r>
      <w:r w:rsidR="009C2EDA">
        <w:rPr>
          <w:b/>
          <w:sz w:val="32"/>
          <w:szCs w:val="32"/>
        </w:rPr>
        <w:t xml:space="preserve">Houston </w:t>
      </w:r>
      <w:r>
        <w:rPr>
          <w:b/>
          <w:sz w:val="32"/>
          <w:szCs w:val="32"/>
        </w:rPr>
        <w:t>County Government and Houston Healthcare Jointly Break Ground on Two Buildings</w:t>
      </w:r>
    </w:p>
    <w:p w14:paraId="3855A90C" w14:textId="77777777" w:rsidR="002353D0" w:rsidRDefault="002353D0" w:rsidP="009C2EDA"/>
    <w:p w14:paraId="46E8921E" w14:textId="6B8B6A6D" w:rsidR="007B759D" w:rsidRDefault="00510D47" w:rsidP="00510D47">
      <w:r>
        <w:t>The Houston County Government and Houston Healthcare broke ground and celebrated the construction kickoff of two buildings on Wednesday, December 14, 2022 at 10 a.m. The site of the new buildings is</w:t>
      </w:r>
      <w:r w:rsidR="007B759D">
        <w:t xml:space="preserve"> 123</w:t>
      </w:r>
      <w:r>
        <w:t xml:space="preserve"> Old </w:t>
      </w:r>
      <w:r w:rsidR="007B759D">
        <w:t xml:space="preserve">Georgia </w:t>
      </w:r>
      <w:r>
        <w:t xml:space="preserve">Highway 96 in Bonaire, across the street from Bonaire Elementary School. This property will be home </w:t>
      </w:r>
      <w:r w:rsidR="007B759D">
        <w:t>to</w:t>
      </w:r>
      <w:r>
        <w:t xml:space="preserve"> a </w:t>
      </w:r>
      <w:r w:rsidR="007B759D">
        <w:t xml:space="preserve">Houston County Public Safety Complex which will </w:t>
      </w:r>
      <w:r w:rsidR="003D6498">
        <w:t>include</w:t>
      </w:r>
      <w:r w:rsidR="007B759D">
        <w:t xml:space="preserve"> a new</w:t>
      </w:r>
      <w:r>
        <w:t xml:space="preserve"> </w:t>
      </w:r>
      <w:r w:rsidR="007B759D">
        <w:t>f</w:t>
      </w:r>
      <w:r>
        <w:t xml:space="preserve">ire </w:t>
      </w:r>
      <w:r w:rsidR="007B759D">
        <w:t>station</w:t>
      </w:r>
      <w:r>
        <w:t xml:space="preserve">, </w:t>
      </w:r>
      <w:r w:rsidR="007B759D">
        <w:t xml:space="preserve">a </w:t>
      </w:r>
      <w:r>
        <w:t xml:space="preserve">Sheriff’s </w:t>
      </w:r>
      <w:r w:rsidR="007B759D">
        <w:t>office</w:t>
      </w:r>
      <w:r>
        <w:t xml:space="preserve"> and </w:t>
      </w:r>
      <w:r w:rsidR="007B759D">
        <w:t xml:space="preserve">an </w:t>
      </w:r>
      <w:r>
        <w:t xml:space="preserve">Emergency Medical Services </w:t>
      </w:r>
      <w:r w:rsidR="007B759D">
        <w:t>(EMS) s</w:t>
      </w:r>
      <w:r>
        <w:t xml:space="preserve">tation in one building, and a Houston Healthcare medical office building </w:t>
      </w:r>
      <w:r w:rsidR="00B43B31">
        <w:t>next door.</w:t>
      </w:r>
    </w:p>
    <w:p w14:paraId="547FE096" w14:textId="5C0B0586" w:rsidR="007B759D" w:rsidRDefault="004C0943" w:rsidP="00510D47">
      <w:r>
        <w:t>Construction will begin immediately, and t</w:t>
      </w:r>
      <w:r w:rsidR="00BC4FB2">
        <w:t>he buildings should be completed by late summer.</w:t>
      </w:r>
    </w:p>
    <w:p w14:paraId="2B4F2FFD" w14:textId="011B5B00" w:rsidR="00BC4FB2" w:rsidRDefault="006A329E" w:rsidP="00510D47">
      <w:r>
        <w:rPr>
          <w:noProof/>
        </w:rPr>
        <w:drawing>
          <wp:anchor distT="0" distB="0" distL="114300" distR="114300" simplePos="0" relativeHeight="251658240" behindDoc="0" locked="0" layoutInCell="1" allowOverlap="1" wp14:anchorId="2C74FBC8" wp14:editId="117ED13D">
            <wp:simplePos x="0" y="0"/>
            <wp:positionH relativeFrom="margin">
              <wp:align>left</wp:align>
            </wp:positionH>
            <wp:positionV relativeFrom="paragraph">
              <wp:posOffset>172085</wp:posOffset>
            </wp:positionV>
            <wp:extent cx="3829050" cy="1823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t="7394" b="18305"/>
                    <a:stretch/>
                  </pic:blipFill>
                  <pic:spPr bwMode="auto">
                    <a:xfrm>
                      <a:off x="0" y="0"/>
                      <a:ext cx="3829050" cy="182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7EE6BA" w14:textId="09619BE7" w:rsidR="004C0943" w:rsidRDefault="001A7476" w:rsidP="004C0943">
      <w:r>
        <w:t>“</w:t>
      </w:r>
      <w:r w:rsidR="00AF239C">
        <w:t xml:space="preserve">Houston Healthcare </w:t>
      </w:r>
      <w:r w:rsidR="00811780">
        <w:t>appreciate</w:t>
      </w:r>
      <w:r w:rsidR="00811780">
        <w:t>s</w:t>
      </w:r>
      <w:r w:rsidR="00811780">
        <w:t xml:space="preserve"> the partnerships we have throughout our community, particularly our relationship with the county commissioners, who have helped this project come to fruition</w:t>
      </w:r>
      <w:r w:rsidR="00811780">
        <w:t>,</w:t>
      </w:r>
      <w:r w:rsidR="00811780">
        <w:t>”</w:t>
      </w:r>
      <w:r w:rsidR="00811780">
        <w:t xml:space="preserve"> </w:t>
      </w:r>
      <w:r w:rsidR="00811780">
        <w:t>said Charles Briscoe, president &amp; CEO of Houston Healthcare.</w:t>
      </w:r>
      <w:r w:rsidR="00811780">
        <w:t xml:space="preserve"> “We are </w:t>
      </w:r>
      <w:r w:rsidR="00AF239C">
        <w:t xml:space="preserve">pleased to meet the </w:t>
      </w:r>
      <w:r w:rsidR="00257C09">
        <w:t xml:space="preserve">healthcare </w:t>
      </w:r>
      <w:r w:rsidR="00AF239C">
        <w:t>needs of the growing Bonaire community with a new medical office building that will provide 16 private exam rooms, Imaging and Laboratory services on site</w:t>
      </w:r>
      <w:r w:rsidR="00811780">
        <w:t xml:space="preserve">. </w:t>
      </w:r>
      <w:r w:rsidR="00257C09">
        <w:t>To have the Public Safety Complex right next door will be a huge benefit for the health and safety of this community, as well.</w:t>
      </w:r>
      <w:r w:rsidR="00811780">
        <w:t>”</w:t>
      </w:r>
    </w:p>
    <w:p w14:paraId="527029B4" w14:textId="6B4CFB9D" w:rsidR="004C0943" w:rsidRDefault="004C0943" w:rsidP="004C0943">
      <w:r>
        <w:lastRenderedPageBreak/>
        <w:t xml:space="preserve">Speakers for the event included Chief Chris Stoner, Houston County Fire Department; Tommy Stalnaker, chair, Houston County Commission; Sheriff Cullen Talton, Houston County Sheriff’s Department; and Charles Briscoe, president &amp; CEO, Houston Healthcare. </w:t>
      </w:r>
    </w:p>
    <w:p w14:paraId="035D9426" w14:textId="38092EAD" w:rsidR="00A91D59" w:rsidRDefault="00A91D59" w:rsidP="004C0943"/>
    <w:p w14:paraId="53507784" w14:textId="592245DB" w:rsidR="00A91D59" w:rsidRDefault="00FB446A" w:rsidP="004C0943">
      <w:r>
        <w:t>R</w:t>
      </w:r>
      <w:r w:rsidR="00A91D59">
        <w:t>ecognized for their contributions to this project were Travis Griffith, president, Argus Eyed Partners</w:t>
      </w:r>
      <w:r w:rsidR="001E3AAD">
        <w:t xml:space="preserve">; </w:t>
      </w:r>
      <w:r w:rsidR="00A91D59">
        <w:t>Jim Daws, president, Sierra Development</w:t>
      </w:r>
      <w:r w:rsidR="001E3AAD">
        <w:t>;</w:t>
      </w:r>
      <w:r w:rsidR="00E53B3C">
        <w:t xml:space="preserve"> </w:t>
      </w:r>
      <w:r>
        <w:t xml:space="preserve">Parrish Construction Group; </w:t>
      </w:r>
      <w:r w:rsidR="00E53B3C">
        <w:t>Azar Walsh Architects</w:t>
      </w:r>
      <w:r>
        <w:t>;</w:t>
      </w:r>
      <w:r w:rsidR="00E53B3C">
        <w:t xml:space="preserve"> and SP Design Group. </w:t>
      </w:r>
    </w:p>
    <w:p w14:paraId="1481CBB2" w14:textId="366623E5" w:rsidR="004C0943" w:rsidRDefault="004C0943" w:rsidP="009C2EDA"/>
    <w:p w14:paraId="077BD61F" w14:textId="77777777" w:rsidR="004C0943" w:rsidRPr="004C0943" w:rsidRDefault="004C0943" w:rsidP="009C2EDA"/>
    <w:p w14:paraId="5FD0A2E0" w14:textId="77777777" w:rsidR="001D4E3D" w:rsidRPr="007A73D7" w:rsidRDefault="001D4E3D" w:rsidP="001D4E3D">
      <w:pPr>
        <w:autoSpaceDE w:val="0"/>
        <w:autoSpaceDN w:val="0"/>
        <w:rPr>
          <w:b/>
          <w:bCs/>
          <w:color w:val="000000"/>
        </w:rPr>
      </w:pPr>
      <w:r w:rsidRPr="007A73D7">
        <w:rPr>
          <w:b/>
          <w:bCs/>
          <w:color w:val="000000"/>
        </w:rPr>
        <w:t>About Houston Healthcare</w:t>
      </w:r>
    </w:p>
    <w:p w14:paraId="1231B4A0" w14:textId="4DFE08AE" w:rsidR="00A54023" w:rsidRDefault="00A54023" w:rsidP="00A54023">
      <w:pPr>
        <w:rPr>
          <w:b/>
          <w:bCs/>
          <w:sz w:val="22"/>
          <w:szCs w:val="22"/>
        </w:rPr>
      </w:pPr>
    </w:p>
    <w:p w14:paraId="17EB22E9" w14:textId="2839BBB0" w:rsidR="00A54023" w:rsidRPr="00A54023" w:rsidRDefault="00A54023" w:rsidP="00A54023">
      <w:pPr>
        <w:rPr>
          <w:color w:val="000000"/>
          <w:sz w:val="22"/>
          <w:szCs w:val="22"/>
        </w:rPr>
      </w:pPr>
      <w:r>
        <w:t xml:space="preserve">Houston Healthcare serves over 300,000 people every year in multiple locations throughout Houston County. Our 282 inpatient beds, three urgent care facilities, nine physician practices and numerous ancillary services have one goal—taking care of the people that call Houston County and surrounding communities home. We provide a wide range of services, including: inpatient and outpatient surgery, Maternity and neonatal intensive care, Advanced cardiovascular care, Urgent care, Electronic intensive care units, Advanced imaging services, Psychiatric care, Physical and cardiac/pulmonary rehabilitation, Orthopedics and joint replacement, Oncology treatment and 24-hour emergency care. For more information, please visit </w:t>
      </w:r>
      <w:hyperlink r:id="rId6" w:history="1">
        <w:r>
          <w:rPr>
            <w:rStyle w:val="Hyperlink"/>
          </w:rPr>
          <w:t>www.hhc.org</w:t>
        </w:r>
      </w:hyperlink>
      <w:r>
        <w:t>.</w:t>
      </w:r>
    </w:p>
    <w:p w14:paraId="7B0469E1" w14:textId="77777777" w:rsidR="00780A03" w:rsidRDefault="00780A03" w:rsidP="009C2EDA"/>
    <w:p w14:paraId="65E4B736" w14:textId="4A3D87A9" w:rsidR="000C091E" w:rsidRDefault="000C091E" w:rsidP="000C091E">
      <w:pPr>
        <w:jc w:val="center"/>
      </w:pPr>
      <w:r>
        <w:t>###</w:t>
      </w:r>
    </w:p>
    <w:sectPr w:rsidR="000C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DA"/>
    <w:rsid w:val="000948B3"/>
    <w:rsid w:val="000C091E"/>
    <w:rsid w:val="001A7476"/>
    <w:rsid w:val="001D4E3D"/>
    <w:rsid w:val="001E3AAD"/>
    <w:rsid w:val="00202BB7"/>
    <w:rsid w:val="00220F39"/>
    <w:rsid w:val="002353D0"/>
    <w:rsid w:val="00257C09"/>
    <w:rsid w:val="002D38B3"/>
    <w:rsid w:val="003D6498"/>
    <w:rsid w:val="00495D35"/>
    <w:rsid w:val="004C0943"/>
    <w:rsid w:val="00510D47"/>
    <w:rsid w:val="00607B82"/>
    <w:rsid w:val="006A329E"/>
    <w:rsid w:val="006D1034"/>
    <w:rsid w:val="0077194A"/>
    <w:rsid w:val="00780A03"/>
    <w:rsid w:val="007B759D"/>
    <w:rsid w:val="00811780"/>
    <w:rsid w:val="00885CF9"/>
    <w:rsid w:val="008A2F22"/>
    <w:rsid w:val="008E02DE"/>
    <w:rsid w:val="009156D6"/>
    <w:rsid w:val="009C2EDA"/>
    <w:rsid w:val="00A54023"/>
    <w:rsid w:val="00A91D59"/>
    <w:rsid w:val="00AA257E"/>
    <w:rsid w:val="00AA65A2"/>
    <w:rsid w:val="00AE4ED2"/>
    <w:rsid w:val="00AF239C"/>
    <w:rsid w:val="00AF3182"/>
    <w:rsid w:val="00B02746"/>
    <w:rsid w:val="00B43B31"/>
    <w:rsid w:val="00BC4FB2"/>
    <w:rsid w:val="00BC66E8"/>
    <w:rsid w:val="00E53B3C"/>
    <w:rsid w:val="00E57207"/>
    <w:rsid w:val="00FB446A"/>
    <w:rsid w:val="00FC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897E"/>
  <w15:chartTrackingRefBased/>
  <w15:docId w15:val="{5DE0DDFE-9901-41CB-B7A0-DCF66B88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0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46614">
      <w:bodyDiv w:val="1"/>
      <w:marLeft w:val="0"/>
      <w:marRight w:val="0"/>
      <w:marTop w:val="0"/>
      <w:marBottom w:val="0"/>
      <w:divBdr>
        <w:top w:val="none" w:sz="0" w:space="0" w:color="auto"/>
        <w:left w:val="none" w:sz="0" w:space="0" w:color="auto"/>
        <w:bottom w:val="none" w:sz="0" w:space="0" w:color="auto"/>
        <w:right w:val="none" w:sz="0" w:space="0" w:color="auto"/>
      </w:divBdr>
    </w:div>
    <w:div w:id="12363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c.org" TargetMode="Externa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2B69AFFD98144A48B5737B4336781" ma:contentTypeVersion="16" ma:contentTypeDescription="Create a new document." ma:contentTypeScope="" ma:versionID="2756d5fe8fe7609c2901d0749974cc01">
  <xsd:schema xmlns:xsd="http://www.w3.org/2001/XMLSchema" xmlns:xs="http://www.w3.org/2001/XMLSchema" xmlns:p="http://schemas.microsoft.com/office/2006/metadata/properties" xmlns:ns2="991a92d1-618c-4b16-832b-b8aacc6f6529" xmlns:ns3="565f0635-9a92-45fb-a6d0-ad8814876ee1" targetNamespace="http://schemas.microsoft.com/office/2006/metadata/properties" ma:root="true" ma:fieldsID="83b17b5634abf9c2a3d1be64094bf2c4" ns2:_="" ns3:_="">
    <xsd:import namespace="991a92d1-618c-4b16-832b-b8aacc6f6529"/>
    <xsd:import namespace="565f0635-9a92-45fb-a6d0-ad8814876e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a92d1-618c-4b16-832b-b8aacc6f6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a03f3d6-828a-4f63-a03b-b88b92b9aa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5f0635-9a92-45fb-a6d0-ad8814876ee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2d5358d-7009-4d22-963e-0f0f7e11d05a}" ma:internalName="TaxCatchAll" ma:showField="CatchAllData" ma:web="565f0635-9a92-45fb-a6d0-ad8814876e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32B0B-F330-4C17-9AD6-6E37A00BFFF5}"/>
</file>

<file path=customXml/itemProps2.xml><?xml version="1.0" encoding="utf-8"?>
<ds:datastoreItem xmlns:ds="http://schemas.openxmlformats.org/officeDocument/2006/customXml" ds:itemID="{B6CB2F9E-727B-4C4B-83C4-ACEEC5EC96DD}"/>
</file>

<file path=docProps/app.xml><?xml version="1.0" encoding="utf-8"?>
<Properties xmlns="http://schemas.openxmlformats.org/officeDocument/2006/extended-properties" xmlns:vt="http://schemas.openxmlformats.org/officeDocument/2006/docPropsVTypes">
  <Template>Normal</Template>
  <TotalTime>130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 Poole</dc:creator>
  <cp:keywords/>
  <dc:description/>
  <cp:lastModifiedBy>Eden R. Tomberlin</cp:lastModifiedBy>
  <cp:revision>19</cp:revision>
  <dcterms:created xsi:type="dcterms:W3CDTF">2022-12-14T17:51:00Z</dcterms:created>
  <dcterms:modified xsi:type="dcterms:W3CDTF">2022-12-15T18:40:00Z</dcterms:modified>
</cp:coreProperties>
</file>